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0C04" w14:textId="77777777" w:rsidR="00DA26E1" w:rsidRDefault="007A1C1F">
      <w:pPr>
        <w:jc w:val="center"/>
        <w:rPr>
          <w:b/>
        </w:rPr>
      </w:pPr>
      <w:r>
        <w:rPr>
          <w:b/>
        </w:rPr>
        <w:t>MOLĖTŲ PRADINĖ MOKYKLA</w:t>
      </w:r>
    </w:p>
    <w:p w14:paraId="58F50C05" w14:textId="77777777" w:rsidR="00DA26E1" w:rsidRDefault="00DA26E1">
      <w:pPr>
        <w:pStyle w:val="Default"/>
        <w:rPr>
          <w:b/>
        </w:rPr>
      </w:pPr>
    </w:p>
    <w:p w14:paraId="58F50C06" w14:textId="77777777" w:rsidR="00DA26E1" w:rsidRDefault="007A1C1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AIŠKINAMASIS RAŠTAS</w:t>
      </w:r>
    </w:p>
    <w:p w14:paraId="58F50C07" w14:textId="79BB203A" w:rsidR="00DA26E1" w:rsidRDefault="007A1C1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PRIE BIUDŽETO IŠLAI</w:t>
      </w:r>
      <w:r w:rsidR="006858EC">
        <w:rPr>
          <w:b/>
          <w:bCs/>
          <w:sz w:val="23"/>
          <w:szCs w:val="23"/>
        </w:rPr>
        <w:t>DŲ SĄMATŲ VYKDYMO ATASKAITŲ 2025</w:t>
      </w:r>
      <w:r>
        <w:rPr>
          <w:b/>
          <w:bCs/>
          <w:sz w:val="23"/>
          <w:szCs w:val="23"/>
        </w:rPr>
        <w:t xml:space="preserve"> M. </w:t>
      </w:r>
      <w:r w:rsidR="00EA38C8">
        <w:rPr>
          <w:b/>
          <w:bCs/>
          <w:sz w:val="23"/>
          <w:szCs w:val="23"/>
        </w:rPr>
        <w:t>RUGSĖJOS</w:t>
      </w:r>
      <w:r w:rsidR="003215E6">
        <w:rPr>
          <w:b/>
          <w:bCs/>
          <w:sz w:val="23"/>
          <w:szCs w:val="23"/>
        </w:rPr>
        <w:t xml:space="preserve"> 30 </w:t>
      </w:r>
      <w:r>
        <w:rPr>
          <w:b/>
          <w:bCs/>
          <w:sz w:val="23"/>
          <w:szCs w:val="23"/>
        </w:rPr>
        <w:t xml:space="preserve"> D.</w:t>
      </w:r>
    </w:p>
    <w:p w14:paraId="58F50C08" w14:textId="77777777" w:rsidR="00DA26E1" w:rsidRDefault="00DA26E1">
      <w:pPr>
        <w:pStyle w:val="Default"/>
        <w:jc w:val="center"/>
        <w:rPr>
          <w:b/>
          <w:bCs/>
          <w:sz w:val="23"/>
          <w:szCs w:val="23"/>
        </w:rPr>
      </w:pPr>
    </w:p>
    <w:p w14:paraId="58F50C09" w14:textId="41985439" w:rsidR="00DA26E1" w:rsidRDefault="007A1C1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202</w:t>
      </w:r>
      <w:r w:rsidR="006858EC">
        <w:rPr>
          <w:sz w:val="23"/>
          <w:szCs w:val="23"/>
        </w:rPr>
        <w:t>5</w:t>
      </w:r>
      <w:r>
        <w:rPr>
          <w:sz w:val="23"/>
          <w:szCs w:val="23"/>
        </w:rPr>
        <w:t xml:space="preserve"> m. </w:t>
      </w:r>
      <w:r w:rsidR="00142599">
        <w:rPr>
          <w:sz w:val="23"/>
          <w:szCs w:val="23"/>
        </w:rPr>
        <w:t>spalio</w:t>
      </w:r>
      <w:r w:rsidR="003215E6">
        <w:rPr>
          <w:sz w:val="23"/>
          <w:szCs w:val="23"/>
        </w:rPr>
        <w:t xml:space="preserve"> 10</w:t>
      </w:r>
      <w:r>
        <w:rPr>
          <w:sz w:val="23"/>
          <w:szCs w:val="23"/>
        </w:rPr>
        <w:t xml:space="preserve"> d.  Nr.</w:t>
      </w:r>
    </w:p>
    <w:p w14:paraId="58F50C0A" w14:textId="77777777" w:rsidR="00DA26E1" w:rsidRDefault="00DA26E1">
      <w:pPr>
        <w:pStyle w:val="Default"/>
        <w:jc w:val="center"/>
        <w:rPr>
          <w:sz w:val="23"/>
          <w:szCs w:val="23"/>
        </w:rPr>
      </w:pPr>
    </w:p>
    <w:p w14:paraId="58F50C0B" w14:textId="77777777" w:rsidR="00DA26E1" w:rsidRDefault="00DA26E1">
      <w:pPr>
        <w:pStyle w:val="Default"/>
        <w:jc w:val="center"/>
        <w:rPr>
          <w:sz w:val="23"/>
          <w:szCs w:val="23"/>
        </w:rPr>
      </w:pPr>
    </w:p>
    <w:p w14:paraId="58F50C0C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Bendroji informacija. </w:t>
      </w:r>
    </w:p>
    <w:p w14:paraId="58F50C0D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Molėtų pradinė mokykla yra savivaldybės biudžetinė įstaiga, kodas 195401656. </w:t>
      </w:r>
    </w:p>
    <w:p w14:paraId="58F50C0E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Adresas. </w:t>
      </w:r>
    </w:p>
    <w:p w14:paraId="58F50C0F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Graužinių g. 1 Molėtai, 33125 </w:t>
      </w:r>
    </w:p>
    <w:p w14:paraId="58F50C10" w14:textId="77777777" w:rsidR="00DA26E1" w:rsidRDefault="007A1C1F">
      <w:pPr>
        <w:pStyle w:val="Default"/>
        <w:spacing w:line="360" w:lineRule="auto"/>
      </w:pPr>
      <w:r>
        <w:rPr>
          <w:b/>
          <w:bCs/>
          <w:i/>
          <w:iCs/>
          <w:sz w:val="23"/>
          <w:szCs w:val="23"/>
        </w:rPr>
        <w:t xml:space="preserve">Įstaigos veikla </w:t>
      </w:r>
      <w:r>
        <w:rPr>
          <w:sz w:val="23"/>
          <w:szCs w:val="23"/>
        </w:rPr>
        <w:t xml:space="preserve">– Pradinis ugdymas. </w:t>
      </w:r>
    </w:p>
    <w:p w14:paraId="58F50C11" w14:textId="4FBEA7DC" w:rsidR="00DA26E1" w:rsidRDefault="006858EC">
      <w:pPr>
        <w:spacing w:line="360" w:lineRule="auto"/>
        <w:rPr>
          <w:b/>
          <w:i/>
        </w:rPr>
      </w:pPr>
      <w:r>
        <w:rPr>
          <w:b/>
          <w:bCs/>
          <w:i/>
          <w:sz w:val="23"/>
          <w:szCs w:val="23"/>
        </w:rPr>
        <w:t>Ataskaitinis laikotarpis: 2025</w:t>
      </w:r>
      <w:r w:rsidR="007A1C1F">
        <w:rPr>
          <w:b/>
          <w:bCs/>
          <w:i/>
          <w:sz w:val="23"/>
          <w:szCs w:val="23"/>
        </w:rPr>
        <w:t>-01-01 – 202</w:t>
      </w:r>
      <w:r>
        <w:rPr>
          <w:b/>
          <w:bCs/>
          <w:i/>
          <w:sz w:val="23"/>
          <w:szCs w:val="23"/>
        </w:rPr>
        <w:t>5</w:t>
      </w:r>
      <w:r w:rsidR="007A1C1F">
        <w:rPr>
          <w:b/>
          <w:bCs/>
          <w:i/>
          <w:sz w:val="23"/>
          <w:szCs w:val="23"/>
        </w:rPr>
        <w:t>-0</w:t>
      </w:r>
      <w:r w:rsidR="00142599">
        <w:rPr>
          <w:b/>
          <w:bCs/>
          <w:i/>
          <w:sz w:val="23"/>
          <w:szCs w:val="23"/>
        </w:rPr>
        <w:t>9</w:t>
      </w:r>
      <w:r w:rsidR="007A1C1F">
        <w:rPr>
          <w:b/>
          <w:bCs/>
          <w:i/>
          <w:sz w:val="23"/>
          <w:szCs w:val="23"/>
        </w:rPr>
        <w:t>-3</w:t>
      </w:r>
      <w:r w:rsidR="003215E6">
        <w:rPr>
          <w:b/>
          <w:bCs/>
          <w:i/>
          <w:sz w:val="23"/>
          <w:szCs w:val="23"/>
        </w:rPr>
        <w:t>0</w:t>
      </w:r>
      <w:r w:rsidR="007A1C1F">
        <w:rPr>
          <w:b/>
          <w:bCs/>
          <w:i/>
          <w:sz w:val="23"/>
          <w:szCs w:val="23"/>
        </w:rPr>
        <w:t xml:space="preserve"> .</w:t>
      </w:r>
    </w:p>
    <w:p w14:paraId="58F50C12" w14:textId="1D962DFD" w:rsidR="00DA26E1" w:rsidRDefault="007A1C1F">
      <w:pPr>
        <w:spacing w:line="360" w:lineRule="auto"/>
        <w:ind w:firstLine="1296"/>
        <w:jc w:val="both"/>
      </w:pPr>
      <w:r>
        <w:t>1. Visi gauti biudžeto lėšų asignavimai, pateikti biudžeto išlaidų sąmatų vykdymo ataskaitose (F2) pagal finansavimo šaltinius, valstybės funkcijas, programas ir išlaidų straipsnius panaudoti pilnai ir pagal jų paskirtį. Biudžetinių lėšų liku</w:t>
      </w:r>
      <w:r w:rsidR="003215E6">
        <w:t>tis</w:t>
      </w:r>
      <w:r>
        <w:t xml:space="preserve"> banko sąskaitoje ataskaitinio laikotarpio pabaigoje </w:t>
      </w:r>
      <w:r w:rsidR="00142599">
        <w:t>105,14</w:t>
      </w:r>
      <w:r w:rsidR="003215E6">
        <w:t xml:space="preserve"> </w:t>
      </w:r>
      <w:proofErr w:type="spellStart"/>
      <w:r w:rsidR="003215E6">
        <w:t>eur</w:t>
      </w:r>
      <w:proofErr w:type="spellEnd"/>
      <w:r>
        <w:t>.</w:t>
      </w:r>
      <w:r w:rsidR="003215E6">
        <w:t xml:space="preserve"> (</w:t>
      </w:r>
      <w:r w:rsidR="00142599">
        <w:t>K</w:t>
      </w:r>
      <w:r w:rsidR="003215E6">
        <w:t xml:space="preserve"> lėšos).</w:t>
      </w:r>
    </w:p>
    <w:p w14:paraId="58F50C13" w14:textId="77777777" w:rsidR="00DA26E1" w:rsidRDefault="007A1C1F">
      <w:pPr>
        <w:pStyle w:val="Default"/>
        <w:spacing w:line="360" w:lineRule="auto"/>
        <w:ind w:firstLine="1296"/>
        <w:rPr>
          <w:sz w:val="23"/>
          <w:szCs w:val="23"/>
        </w:rPr>
      </w:pPr>
      <w:r>
        <w:rPr>
          <w:sz w:val="23"/>
          <w:szCs w:val="23"/>
        </w:rPr>
        <w:t>2. Informacija apie įstaigos pajamas per ataskaitinį laikotarpį pateikta AR 1 priedo ataskaitoje (1 forma).</w:t>
      </w:r>
    </w:p>
    <w:p w14:paraId="58F50C14" w14:textId="77777777" w:rsidR="00DA26E1" w:rsidRDefault="007A1C1F">
      <w:pPr>
        <w:pStyle w:val="Default"/>
        <w:spacing w:line="360" w:lineRule="auto"/>
        <w:ind w:firstLine="1296"/>
        <w:rPr>
          <w:bCs/>
          <w:sz w:val="23"/>
          <w:szCs w:val="23"/>
        </w:rPr>
      </w:pPr>
      <w:r>
        <w:rPr>
          <w:bCs/>
          <w:sz w:val="23"/>
          <w:szCs w:val="23"/>
        </w:rPr>
        <w:t>3. Ataskaitinio laikotarpio pabaigoje likusių mokėtinų sumų prekių ir paslaugų tiekėjams, kurių išmokėjimo terminas suėjęs, nėra.</w:t>
      </w:r>
    </w:p>
    <w:p w14:paraId="58F50C15" w14:textId="256EFC88" w:rsidR="00DA26E1" w:rsidRDefault="007A1C1F">
      <w:pPr>
        <w:pStyle w:val="Default"/>
        <w:spacing w:line="360" w:lineRule="auto"/>
        <w:ind w:firstLine="1296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3.1. Reikšmingos mokėtinos sumos ataskaitinio laikotarpio pabaigoje – tai darbuotojams neišmokėtas darbo užmokestis ir kitos išmokos už praėjusį mėnesį, nesumokėtas GPM, atskaitymai ir darbdavio priskaitymai SODR-ai, profsąjungų nario mokestis. </w:t>
      </w:r>
    </w:p>
    <w:p w14:paraId="58F50C16" w14:textId="70577C45" w:rsidR="00DA26E1" w:rsidRDefault="007A1C1F">
      <w:pPr>
        <w:pStyle w:val="Default"/>
        <w:spacing w:line="360" w:lineRule="auto"/>
        <w:ind w:firstLine="1296"/>
        <w:rPr>
          <w:bCs/>
          <w:sz w:val="23"/>
          <w:szCs w:val="23"/>
        </w:rPr>
      </w:pPr>
      <w:r>
        <w:rPr>
          <w:bCs/>
          <w:sz w:val="23"/>
          <w:szCs w:val="23"/>
        </w:rPr>
        <w:t>Pagal įstaigos Darbo apmokėjimo sistemos, patvirtintos Mokyklos direktoriaus įs</w:t>
      </w:r>
      <w:r w:rsidR="006858EC">
        <w:rPr>
          <w:bCs/>
          <w:sz w:val="23"/>
          <w:szCs w:val="23"/>
        </w:rPr>
        <w:t>akymu Nr. V-138 (2024</w:t>
      </w:r>
      <w:r w:rsidR="0039621B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-12-29), II skyriaus VIII skirsnio 62 p.  darbo užmokestis už praėjusį mėnesį darbuotojams išmokamas ne vėliau kaip per 10 dienų , pasibaigus kalendoriniam mėnesiui.</w:t>
      </w:r>
    </w:p>
    <w:p w14:paraId="58F50C17" w14:textId="77777777" w:rsidR="00DA26E1" w:rsidRDefault="007A1C1F">
      <w:pPr>
        <w:pStyle w:val="Default"/>
        <w:spacing w:line="360" w:lineRule="auto"/>
        <w:ind w:firstLine="1296"/>
        <w:rPr>
          <w:sz w:val="23"/>
          <w:szCs w:val="23"/>
        </w:rPr>
      </w:pPr>
      <w:r>
        <w:rPr>
          <w:sz w:val="23"/>
          <w:szCs w:val="23"/>
        </w:rPr>
        <w:t>4. Mokykla, įgyvendindama iš ES fondų finansuojamus projektus, neturėjo neplanuotų netinkamų finansuoti ES fondo lėšomis išlaidų, kurias būtų padengusi valstybės ar savivaldybės biudžeto lėšomis.</w:t>
      </w:r>
    </w:p>
    <w:p w14:paraId="58F50C18" w14:textId="77777777" w:rsidR="00DA26E1" w:rsidRDefault="007A1C1F">
      <w:pPr>
        <w:spacing w:line="360" w:lineRule="auto"/>
        <w:ind w:firstLine="1296"/>
        <w:jc w:val="both"/>
      </w:pPr>
      <w:r>
        <w:t xml:space="preserve"> </w:t>
      </w:r>
    </w:p>
    <w:p w14:paraId="58F50C19" w14:textId="77777777" w:rsidR="00DA26E1" w:rsidRDefault="00DA26E1">
      <w:pPr>
        <w:spacing w:line="360" w:lineRule="auto"/>
        <w:ind w:firstLine="1296"/>
        <w:jc w:val="both"/>
      </w:pPr>
    </w:p>
    <w:p w14:paraId="58F50C1A" w14:textId="77777777" w:rsidR="00DA26E1" w:rsidRDefault="007A1C1F">
      <w:pPr>
        <w:spacing w:line="276" w:lineRule="auto"/>
        <w:ind w:firstLine="1296"/>
        <w:jc w:val="both"/>
      </w:pPr>
      <w:r>
        <w:t>.</w:t>
      </w:r>
    </w:p>
    <w:p w14:paraId="58F50C1B" w14:textId="77777777" w:rsidR="00DA26E1" w:rsidRDefault="007A1C1F">
      <w:pPr>
        <w:jc w:val="both"/>
      </w:pPr>
      <w:r>
        <w:t>Direktorė</w:t>
      </w:r>
      <w:r>
        <w:tab/>
      </w:r>
      <w:r>
        <w:tab/>
      </w:r>
      <w:r>
        <w:tab/>
      </w:r>
      <w:r>
        <w:tab/>
      </w:r>
      <w:r>
        <w:tab/>
        <w:t xml:space="preserve">Regina </w:t>
      </w:r>
      <w:proofErr w:type="spellStart"/>
      <w:r>
        <w:t>Pumputienė</w:t>
      </w:r>
      <w:proofErr w:type="spellEnd"/>
    </w:p>
    <w:p w14:paraId="58F50C1C" w14:textId="77777777" w:rsidR="00DA26E1" w:rsidRDefault="00DA26E1">
      <w:pPr>
        <w:jc w:val="both"/>
      </w:pPr>
    </w:p>
    <w:p w14:paraId="58F50C1D" w14:textId="77777777" w:rsidR="00DA26E1" w:rsidRDefault="007A1C1F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58F50C1E" w14:textId="77777777" w:rsidR="00DA26E1" w:rsidRDefault="007A1C1F">
      <w:pPr>
        <w:jc w:val="both"/>
      </w:pPr>
      <w:r>
        <w:t>Vyriausioji buhalterė</w:t>
      </w:r>
      <w:r>
        <w:tab/>
      </w:r>
      <w:r>
        <w:tab/>
      </w:r>
      <w:r>
        <w:tab/>
        <w:t xml:space="preserve">                     Veronika </w:t>
      </w:r>
      <w:proofErr w:type="spellStart"/>
      <w:r>
        <w:t>Šlepikienė</w:t>
      </w:r>
      <w:proofErr w:type="spellEnd"/>
    </w:p>
    <w:p w14:paraId="58F50C1F" w14:textId="77777777" w:rsidR="00DA26E1" w:rsidRDefault="00DA26E1">
      <w:pPr>
        <w:ind w:firstLine="1296"/>
        <w:jc w:val="both"/>
      </w:pPr>
    </w:p>
    <w:p w14:paraId="58F50C20" w14:textId="77777777" w:rsidR="00DA26E1" w:rsidRDefault="007A1C1F">
      <w:pPr>
        <w:spacing w:line="360" w:lineRule="auto"/>
        <w:ind w:firstLine="1296"/>
        <w:jc w:val="both"/>
      </w:pPr>
      <w:bookmarkStart w:id="0" w:name="_GoBack"/>
      <w:bookmarkEnd w:id="0"/>
      <w:r>
        <w:lastRenderedPageBreak/>
        <w:tab/>
      </w:r>
      <w:r>
        <w:rPr>
          <w:sz w:val="23"/>
          <w:szCs w:val="23"/>
        </w:rPr>
        <w:t xml:space="preserve"> </w:t>
      </w:r>
    </w:p>
    <w:sectPr w:rsidR="00DA26E1">
      <w:pgSz w:w="11906" w:h="16838"/>
      <w:pgMar w:top="1701" w:right="567" w:bottom="1134" w:left="1701" w:header="0" w:footer="0" w:gutter="0"/>
      <w:cols w:space="1296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BA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E1"/>
    <w:rsid w:val="00142599"/>
    <w:rsid w:val="003215E6"/>
    <w:rsid w:val="0039621B"/>
    <w:rsid w:val="006858EC"/>
    <w:rsid w:val="007A1C1F"/>
    <w:rsid w:val="00DA26E1"/>
    <w:rsid w:val="00EA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0C04"/>
  <w15:docId w15:val="{5F77B7AF-2C5A-47B8-B315-4D34475C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MOLĖTŲ PRADINĖ MOKYKLA</vt:lpstr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MOLĖTŲ PRADINĖ MOKYKLA</dc:title>
  <dc:creator>Buhaltere</dc:creator>
  <cp:lastModifiedBy>PMPC</cp:lastModifiedBy>
  <cp:revision>4</cp:revision>
  <cp:lastPrinted>2022-05-16T15:02:00Z</cp:lastPrinted>
  <dcterms:created xsi:type="dcterms:W3CDTF">2025-10-20T10:58:00Z</dcterms:created>
  <dcterms:modified xsi:type="dcterms:W3CDTF">2025-10-20T11:19:00Z</dcterms:modified>
  <dc:language>lt-LT</dc:language>
</cp:coreProperties>
</file>